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D20DCE" w:rsidRDefault="003463C3" w:rsidP="005438AE">
      <w:pPr>
        <w:autoSpaceDE w:val="0"/>
        <w:autoSpaceDN w:val="0"/>
        <w:jc w:val="both"/>
        <w:rPr>
          <w:rFonts w:ascii="Arial Unicode MS" w:eastAsia="Arial Unicode MS" w:hAnsi="Arial Unicode MS" w:cs="Arial Unicode MS"/>
          <w:b/>
          <w:sz w:val="24"/>
          <w:szCs w:val="24"/>
        </w:rPr>
      </w:pPr>
      <w:r w:rsidRPr="00D20DCE">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D20DCE" w:rsidRDefault="00E41C7C" w:rsidP="005438AE">
      <w:pPr>
        <w:autoSpaceDE w:val="0"/>
        <w:autoSpaceDN w:val="0"/>
        <w:jc w:val="both"/>
        <w:rPr>
          <w:rFonts w:ascii="Arial Unicode MS" w:eastAsia="Arial Unicode MS" w:hAnsi="Arial Unicode MS" w:cs="Arial Unicode MS"/>
          <w:b/>
          <w:sz w:val="24"/>
          <w:szCs w:val="24"/>
        </w:rPr>
      </w:pPr>
      <w:r w:rsidRPr="00E41C7C">
        <w:rPr>
          <w:rFonts w:ascii="Arial Unicode MS" w:eastAsia="Arial Unicode MS" w:hAnsi="Arial Unicode MS" w:cs="Arial Unicode MS"/>
          <w:b/>
          <w:sz w:val="24"/>
          <w:szCs w:val="24"/>
        </w:rPr>
        <w:t>Knust-Godwin</w:t>
      </w:r>
      <w:proofErr w:type="gramStart"/>
      <w:r w:rsidRPr="00E41C7C">
        <w:rPr>
          <w:rFonts w:ascii="Arial Unicode MS" w:eastAsia="Arial Unicode MS" w:hAnsi="Arial Unicode MS" w:cs="Arial Unicode MS"/>
          <w:b/>
          <w:sz w:val="24"/>
          <w:szCs w:val="24"/>
        </w:rPr>
        <w:t>利用增材制造</w:t>
      </w:r>
      <w:proofErr w:type="gramEnd"/>
      <w:r w:rsidRPr="00E41C7C">
        <w:rPr>
          <w:rFonts w:ascii="Arial Unicode MS" w:eastAsia="Arial Unicode MS" w:hAnsi="Arial Unicode MS" w:cs="Arial Unicode MS"/>
          <w:b/>
          <w:sz w:val="24"/>
          <w:szCs w:val="24"/>
        </w:rPr>
        <w:t>工艺缩短交付周期</w:t>
      </w:r>
    </w:p>
    <w:p w:rsidR="004F794E" w:rsidRPr="00D20DCE"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E41C7C" w:rsidRPr="00E41C7C" w:rsidRDefault="00E41C7C" w:rsidP="00E41C7C">
      <w:pPr>
        <w:autoSpaceDE w:val="0"/>
        <w:autoSpaceDN w:val="0"/>
        <w:spacing w:line="283" w:lineRule="auto"/>
        <w:jc w:val="both"/>
        <w:rPr>
          <w:rFonts w:ascii="Arial Unicode MS" w:eastAsia="Arial Unicode MS" w:hAnsi="Arial Unicode MS" w:cs="Arial Unicode MS"/>
          <w:lang w:val="en-US"/>
        </w:rPr>
      </w:pPr>
      <w:r w:rsidRPr="00E41C7C">
        <w:rPr>
          <w:rFonts w:ascii="Arial Unicode MS" w:eastAsia="Arial Unicode MS" w:hAnsi="Arial Unicode MS" w:cs="Arial Unicode MS" w:hint="eastAsia"/>
          <w:lang w:val="en-US"/>
        </w:rPr>
        <w:t>工程技术领域的跨国公司雷尼绍向位于美国德克萨斯州凯蒂市的精密制造企业</w:t>
      </w:r>
      <w:r w:rsidRPr="00E41C7C">
        <w:rPr>
          <w:rFonts w:ascii="Arial Unicode MS" w:eastAsia="Arial Unicode MS" w:hAnsi="Arial Unicode MS" w:cs="Arial Unicode MS"/>
          <w:lang w:val="en-US"/>
        </w:rPr>
        <w:t>Knust-Godwin提供了四台RenAM 500Q</w:t>
      </w:r>
      <w:proofErr w:type="gramStart"/>
      <w:r w:rsidRPr="00E41C7C">
        <w:rPr>
          <w:rFonts w:ascii="Arial Unicode MS" w:eastAsia="Arial Unicode MS" w:hAnsi="Arial Unicode MS" w:cs="Arial Unicode MS"/>
          <w:lang w:val="en-US"/>
        </w:rPr>
        <w:t>金属增材制造</w:t>
      </w:r>
      <w:proofErr w:type="gramEnd"/>
      <w:r w:rsidRPr="00E41C7C">
        <w:rPr>
          <w:rFonts w:ascii="Arial Unicode MS" w:eastAsia="Arial Unicode MS" w:hAnsi="Arial Unicode MS" w:cs="Arial Unicode MS"/>
          <w:lang w:val="en-US"/>
        </w:rPr>
        <w:t xml:space="preserve"> (AM) 机器。RenAM 500Q</w:t>
      </w:r>
      <w:proofErr w:type="gramStart"/>
      <w:r w:rsidRPr="00E41C7C">
        <w:rPr>
          <w:rFonts w:ascii="Arial Unicode MS" w:eastAsia="Arial Unicode MS" w:hAnsi="Arial Unicode MS" w:cs="Arial Unicode MS"/>
          <w:lang w:val="en-US"/>
        </w:rPr>
        <w:t>高效能增材制造</w:t>
      </w:r>
      <w:proofErr w:type="gramEnd"/>
      <w:r w:rsidRPr="00E41C7C">
        <w:rPr>
          <w:rFonts w:ascii="Arial Unicode MS" w:eastAsia="Arial Unicode MS" w:hAnsi="Arial Unicode MS" w:cs="Arial Unicode MS"/>
          <w:lang w:val="en-US"/>
        </w:rPr>
        <w:t>系统设计用于批量工业生产，</w:t>
      </w:r>
      <w:r w:rsidR="00CA3631">
        <w:rPr>
          <w:rFonts w:ascii="Arial Unicode MS" w:eastAsia="Arial Unicode MS" w:hAnsi="Arial Unicode MS" w:cs="Arial Unicode MS"/>
          <w:lang w:val="en-US"/>
        </w:rPr>
        <w:br/>
      </w:r>
      <w:proofErr w:type="gramStart"/>
      <w:r w:rsidRPr="00E41C7C">
        <w:rPr>
          <w:rFonts w:ascii="Arial Unicode MS" w:eastAsia="Arial Unicode MS" w:hAnsi="Arial Unicode MS" w:cs="Arial Unicode MS"/>
          <w:lang w:val="en-US"/>
        </w:rPr>
        <w:t>成功帮</w:t>
      </w:r>
      <w:proofErr w:type="gramEnd"/>
      <w:r w:rsidRPr="00E41C7C">
        <w:rPr>
          <w:rFonts w:ascii="Arial Unicode MS" w:eastAsia="Arial Unicode MS" w:hAnsi="Arial Unicode MS" w:cs="Arial Unicode MS"/>
          <w:lang w:val="en-US"/>
        </w:rPr>
        <w:t>助Knust-Godwin大幅缩短了交付周期。</w:t>
      </w:r>
    </w:p>
    <w:p w:rsidR="00E41C7C" w:rsidRPr="00D20DCE" w:rsidRDefault="00E41C7C" w:rsidP="00E41C7C">
      <w:pPr>
        <w:autoSpaceDE w:val="0"/>
        <w:autoSpaceDN w:val="0"/>
        <w:spacing w:line="132" w:lineRule="auto"/>
        <w:jc w:val="both"/>
        <w:rPr>
          <w:rFonts w:ascii="Arial Unicode MS" w:eastAsia="Arial Unicode MS" w:hAnsi="Arial Unicode MS" w:cs="Arial Unicode MS"/>
        </w:rPr>
      </w:pPr>
    </w:p>
    <w:p w:rsidR="00E41C7C" w:rsidRPr="00E41C7C" w:rsidRDefault="00E41C7C" w:rsidP="00E41C7C">
      <w:pPr>
        <w:autoSpaceDE w:val="0"/>
        <w:autoSpaceDN w:val="0"/>
        <w:spacing w:line="283" w:lineRule="auto"/>
        <w:jc w:val="both"/>
        <w:rPr>
          <w:rFonts w:ascii="Arial Unicode MS" w:eastAsia="Arial Unicode MS" w:hAnsi="Arial Unicode MS" w:cs="Arial Unicode MS"/>
          <w:lang w:val="en-US"/>
        </w:rPr>
      </w:pPr>
      <w:r w:rsidRPr="00E41C7C">
        <w:rPr>
          <w:rFonts w:ascii="Arial Unicode MS" w:eastAsia="Arial Unicode MS" w:hAnsi="Arial Unicode MS" w:cs="Arial Unicode MS"/>
          <w:lang w:val="en-US"/>
        </w:rPr>
        <w:t>Knust-Godwin公司已有半个多世纪的历史，一直从事油田设备大型复杂零部件的制造加工业务。Knust-Godwin最初</w:t>
      </w:r>
      <w:proofErr w:type="gramStart"/>
      <w:r w:rsidRPr="00E41C7C">
        <w:rPr>
          <w:rFonts w:ascii="Arial Unicode MS" w:eastAsia="Arial Unicode MS" w:hAnsi="Arial Unicode MS" w:cs="Arial Unicode MS"/>
          <w:lang w:val="en-US"/>
        </w:rPr>
        <w:t>引入增材制造</w:t>
      </w:r>
      <w:proofErr w:type="gramEnd"/>
      <w:r w:rsidRPr="00E41C7C">
        <w:rPr>
          <w:rFonts w:ascii="Arial Unicode MS" w:eastAsia="Arial Unicode MS" w:hAnsi="Arial Unicode MS" w:cs="Arial Unicode MS"/>
          <w:lang w:val="en-US"/>
        </w:rPr>
        <w:t>工艺是为了帮助来自石油和天然气行业的客户开发新的零部件设计、提高生产效率和生产力。该公司现在决定购入四台RenAM 500Q机器，以</w:t>
      </w:r>
      <w:proofErr w:type="gramStart"/>
      <w:r w:rsidRPr="00E41C7C">
        <w:rPr>
          <w:rFonts w:ascii="Arial Unicode MS" w:eastAsia="Arial Unicode MS" w:hAnsi="Arial Unicode MS" w:cs="Arial Unicode MS"/>
          <w:lang w:val="en-US"/>
        </w:rPr>
        <w:t>提升增材制造</w:t>
      </w:r>
      <w:proofErr w:type="gramEnd"/>
      <w:r w:rsidRPr="00E41C7C">
        <w:rPr>
          <w:rFonts w:ascii="Arial Unicode MS" w:eastAsia="Arial Unicode MS" w:hAnsi="Arial Unicode MS" w:cs="Arial Unicode MS"/>
          <w:lang w:val="en-US"/>
        </w:rPr>
        <w:t>能力，实现批量生产。</w:t>
      </w:r>
    </w:p>
    <w:p w:rsidR="00E41C7C" w:rsidRPr="00D20DCE" w:rsidRDefault="00E41C7C" w:rsidP="00E41C7C">
      <w:pPr>
        <w:autoSpaceDE w:val="0"/>
        <w:autoSpaceDN w:val="0"/>
        <w:spacing w:line="132" w:lineRule="auto"/>
        <w:jc w:val="both"/>
        <w:rPr>
          <w:rFonts w:ascii="Arial Unicode MS" w:eastAsia="Arial Unicode MS" w:hAnsi="Arial Unicode MS" w:cs="Arial Unicode MS"/>
        </w:rPr>
      </w:pPr>
    </w:p>
    <w:p w:rsidR="00E41C7C" w:rsidRPr="00E41C7C" w:rsidRDefault="00E41C7C" w:rsidP="00E41C7C">
      <w:pPr>
        <w:autoSpaceDE w:val="0"/>
        <w:autoSpaceDN w:val="0"/>
        <w:spacing w:line="283" w:lineRule="auto"/>
        <w:jc w:val="both"/>
        <w:rPr>
          <w:rFonts w:ascii="Arial Unicode MS" w:eastAsia="Arial Unicode MS" w:hAnsi="Arial Unicode MS" w:cs="Arial Unicode MS"/>
          <w:lang w:val="en-US"/>
        </w:rPr>
      </w:pPr>
      <w:r w:rsidRPr="00E41C7C">
        <w:rPr>
          <w:rFonts w:ascii="Arial Unicode MS" w:eastAsia="Arial Unicode MS" w:hAnsi="Arial Unicode MS" w:cs="Arial Unicode MS" w:hint="eastAsia"/>
          <w:lang w:val="en-US"/>
        </w:rPr>
        <w:t>在石油和天然气行业采用增材制造工艺具有诸多优势，比如生产用于随钻测量和随钻测井的井下测量组件，从而获得更高效的流量</w:t>
      </w:r>
      <w:r w:rsidR="003B19B2">
        <w:rPr>
          <w:rFonts w:ascii="Arial Unicode MS" w:eastAsia="Arial Unicode MS" w:hAnsi="Arial Unicode MS" w:cs="Arial Unicode MS" w:hint="eastAsia"/>
          <w:lang w:val="en-US"/>
        </w:rPr>
        <w:t>，</w:t>
      </w:r>
      <w:r w:rsidRPr="00E41C7C">
        <w:rPr>
          <w:rFonts w:ascii="Arial Unicode MS" w:eastAsia="Arial Unicode MS" w:hAnsi="Arial Unicode MS" w:cs="Arial Unicode MS" w:hint="eastAsia"/>
          <w:lang w:val="en-US"/>
        </w:rPr>
        <w:t>以提高流动</w:t>
      </w:r>
      <w:bookmarkStart w:id="0" w:name="_GoBack"/>
      <w:bookmarkEnd w:id="0"/>
      <w:r w:rsidRPr="00E41C7C">
        <w:rPr>
          <w:rFonts w:ascii="Arial Unicode MS" w:eastAsia="Arial Unicode MS" w:hAnsi="Arial Unicode MS" w:cs="Arial Unicode MS" w:hint="eastAsia"/>
          <w:lang w:val="en-US"/>
        </w:rPr>
        <w:t>效率，延长产品使用寿命。另外还有助于减少浪费、缩短交付周期、简化序后处理程序</w:t>
      </w:r>
      <w:r w:rsidRPr="00E41C7C">
        <w:rPr>
          <w:rFonts w:ascii="Arial Unicode MS" w:eastAsia="Arial Unicode MS" w:hAnsi="Arial Unicode MS" w:cs="Arial Unicode MS"/>
          <w:lang w:val="en-US"/>
        </w:rPr>
        <w:t xml:space="preserve"> — 从6至12个环节简化为2至3个环节。</w:t>
      </w:r>
    </w:p>
    <w:p w:rsidR="00E41C7C" w:rsidRPr="00D20DCE" w:rsidRDefault="00E41C7C" w:rsidP="00E41C7C">
      <w:pPr>
        <w:autoSpaceDE w:val="0"/>
        <w:autoSpaceDN w:val="0"/>
        <w:spacing w:line="132" w:lineRule="auto"/>
        <w:jc w:val="both"/>
        <w:rPr>
          <w:rFonts w:ascii="Arial Unicode MS" w:eastAsia="Arial Unicode MS" w:hAnsi="Arial Unicode MS" w:cs="Arial Unicode MS"/>
        </w:rPr>
      </w:pPr>
    </w:p>
    <w:p w:rsidR="00E41C7C" w:rsidRPr="00E41C7C" w:rsidRDefault="00E41C7C" w:rsidP="00E41C7C">
      <w:pPr>
        <w:autoSpaceDE w:val="0"/>
        <w:autoSpaceDN w:val="0"/>
        <w:spacing w:line="283" w:lineRule="auto"/>
        <w:jc w:val="both"/>
        <w:rPr>
          <w:rFonts w:ascii="Arial Unicode MS" w:eastAsia="Arial Unicode MS" w:hAnsi="Arial Unicode MS" w:cs="Arial Unicode MS"/>
          <w:lang w:val="en-US"/>
        </w:rPr>
      </w:pPr>
      <w:r w:rsidRPr="00E41C7C">
        <w:rPr>
          <w:rFonts w:ascii="Arial Unicode MS" w:eastAsia="Arial Unicode MS" w:hAnsi="Arial Unicode MS" w:cs="Arial Unicode MS" w:hint="eastAsia"/>
          <w:lang w:val="en-US"/>
        </w:rPr>
        <w:t>“增材制造技术最初是一项原型设计技术，但是现在已经发展成为一种批量生产工艺，”</w:t>
      </w:r>
      <w:r w:rsidRPr="00E41C7C">
        <w:rPr>
          <w:rFonts w:ascii="Arial Unicode MS" w:eastAsia="Arial Unicode MS" w:hAnsi="Arial Unicode MS" w:cs="Arial Unicode MS"/>
          <w:lang w:val="en-US"/>
        </w:rPr>
        <w:t>Knust-Godwin</w:t>
      </w:r>
      <w:r w:rsidR="00DA38A7">
        <w:rPr>
          <w:rFonts w:ascii="Arial Unicode MS" w:eastAsia="Arial Unicode MS" w:hAnsi="Arial Unicode MS" w:cs="Arial Unicode MS"/>
          <w:lang w:val="en-US"/>
        </w:rPr>
        <w:br/>
      </w:r>
      <w:r w:rsidRPr="00E41C7C">
        <w:rPr>
          <w:rFonts w:ascii="Arial Unicode MS" w:eastAsia="Arial Unicode MS" w:hAnsi="Arial Unicode MS" w:cs="Arial Unicode MS"/>
          <w:lang w:val="en-US"/>
        </w:rPr>
        <w:t>技术部副总裁Mike Corliss指出。“通过专门针对增材制造工艺设计零件，我们成功缩短了交付周期。</w:t>
      </w:r>
      <w:r w:rsidR="00DA38A7">
        <w:rPr>
          <w:rFonts w:ascii="Arial Unicode MS" w:eastAsia="Arial Unicode MS" w:hAnsi="Arial Unicode MS" w:cs="Arial Unicode MS"/>
          <w:lang w:val="en-US"/>
        </w:rPr>
        <w:br/>
      </w:r>
      <w:r w:rsidRPr="00E41C7C">
        <w:rPr>
          <w:rFonts w:ascii="Arial Unicode MS" w:eastAsia="Arial Unicode MS" w:hAnsi="Arial Unicode MS" w:cs="Arial Unicode MS"/>
          <w:lang w:val="en-US"/>
        </w:rPr>
        <w:t>以前，一个项目从提出概念到成功推向市场耗时长达两年；而现在，8个月即可完成。石油和天然气</w:t>
      </w:r>
      <w:r w:rsidR="00CA3631">
        <w:rPr>
          <w:rFonts w:ascii="Arial Unicode MS" w:eastAsia="Arial Unicode MS" w:hAnsi="Arial Unicode MS" w:cs="Arial Unicode MS"/>
          <w:lang w:val="en-US"/>
        </w:rPr>
        <w:br/>
      </w:r>
      <w:r w:rsidRPr="00E41C7C">
        <w:rPr>
          <w:rFonts w:ascii="Arial Unicode MS" w:eastAsia="Arial Unicode MS" w:hAnsi="Arial Unicode MS" w:cs="Arial Unicode MS"/>
          <w:lang w:val="en-US"/>
        </w:rPr>
        <w:t>行业的周期性特点决定了缩短交付周期极为重要。”</w:t>
      </w:r>
    </w:p>
    <w:p w:rsidR="00E41C7C" w:rsidRPr="00D20DCE" w:rsidRDefault="00E41C7C" w:rsidP="00E41C7C">
      <w:pPr>
        <w:autoSpaceDE w:val="0"/>
        <w:autoSpaceDN w:val="0"/>
        <w:spacing w:line="132" w:lineRule="auto"/>
        <w:jc w:val="both"/>
        <w:rPr>
          <w:rFonts w:ascii="Arial Unicode MS" w:eastAsia="Arial Unicode MS" w:hAnsi="Arial Unicode MS" w:cs="Arial Unicode MS"/>
        </w:rPr>
      </w:pPr>
    </w:p>
    <w:p w:rsidR="00E41C7C" w:rsidRPr="00E41C7C" w:rsidRDefault="00E41C7C" w:rsidP="00E41C7C">
      <w:pPr>
        <w:autoSpaceDE w:val="0"/>
        <w:autoSpaceDN w:val="0"/>
        <w:spacing w:line="283" w:lineRule="auto"/>
        <w:jc w:val="both"/>
        <w:rPr>
          <w:rFonts w:ascii="Arial Unicode MS" w:eastAsia="Arial Unicode MS" w:hAnsi="Arial Unicode MS" w:cs="Arial Unicode MS"/>
          <w:lang w:val="en-US"/>
        </w:rPr>
      </w:pPr>
      <w:r w:rsidRPr="00E41C7C">
        <w:rPr>
          <w:rFonts w:ascii="Arial Unicode MS" w:eastAsia="Arial Unicode MS" w:hAnsi="Arial Unicode MS" w:cs="Arial Unicode MS"/>
          <w:lang w:val="en-US"/>
        </w:rPr>
        <w:t>Corliss先生继续说：“Knust-Godwin不仅使用增材制造系统大幅提高了生产力，而且得到了雷尼绍的</w:t>
      </w:r>
      <w:r w:rsidR="00DA38A7">
        <w:rPr>
          <w:rFonts w:ascii="Arial Unicode MS" w:eastAsia="Arial Unicode MS" w:hAnsi="Arial Unicode MS" w:cs="Arial Unicode MS"/>
          <w:lang w:val="en-US"/>
        </w:rPr>
        <w:br/>
      </w:r>
      <w:r w:rsidRPr="00E41C7C">
        <w:rPr>
          <w:rFonts w:ascii="Arial Unicode MS" w:eastAsia="Arial Unicode MS" w:hAnsi="Arial Unicode MS" w:cs="Arial Unicode MS"/>
          <w:lang w:val="en-US"/>
        </w:rPr>
        <w:t>鼎力支持。事实证明，增材制造工艺是公司发展的巨大推动力。我们预计，石油和天然气行业业务的</w:t>
      </w:r>
      <w:r w:rsidR="00DA38A7">
        <w:rPr>
          <w:rFonts w:ascii="Arial Unicode MS" w:eastAsia="Arial Unicode MS" w:hAnsi="Arial Unicode MS" w:cs="Arial Unicode MS"/>
          <w:lang w:val="en-US"/>
        </w:rPr>
        <w:br/>
      </w:r>
      <w:r w:rsidRPr="00E41C7C">
        <w:rPr>
          <w:rFonts w:ascii="Arial Unicode MS" w:eastAsia="Arial Unicode MS" w:hAnsi="Arial Unicode MS" w:cs="Arial Unicode MS"/>
          <w:lang w:val="en-US"/>
        </w:rPr>
        <w:t>年复合增长率可达到40%，航空航天行业可达到20%。我们还计划再采购几台RenAM 500Q机器，用于生产不同的金属合金零部件。”</w:t>
      </w:r>
    </w:p>
    <w:p w:rsidR="00E41C7C" w:rsidRPr="00D20DCE" w:rsidRDefault="00E41C7C" w:rsidP="00E41C7C">
      <w:pPr>
        <w:autoSpaceDE w:val="0"/>
        <w:autoSpaceDN w:val="0"/>
        <w:spacing w:line="132" w:lineRule="auto"/>
        <w:jc w:val="both"/>
        <w:rPr>
          <w:rFonts w:ascii="Arial Unicode MS" w:eastAsia="Arial Unicode MS" w:hAnsi="Arial Unicode MS" w:cs="Arial Unicode MS"/>
        </w:rPr>
      </w:pPr>
    </w:p>
    <w:p w:rsidR="00E41C7C" w:rsidRPr="00E41C7C" w:rsidRDefault="00E41C7C" w:rsidP="00E41C7C">
      <w:pPr>
        <w:autoSpaceDE w:val="0"/>
        <w:autoSpaceDN w:val="0"/>
        <w:spacing w:line="283" w:lineRule="auto"/>
        <w:jc w:val="both"/>
        <w:rPr>
          <w:rFonts w:ascii="Arial Unicode MS" w:eastAsia="Arial Unicode MS" w:hAnsi="Arial Unicode MS" w:cs="Arial Unicode MS"/>
          <w:lang w:val="en-US"/>
        </w:rPr>
      </w:pPr>
      <w:proofErr w:type="gramStart"/>
      <w:r w:rsidRPr="00E41C7C">
        <w:rPr>
          <w:rFonts w:ascii="Arial Unicode MS" w:eastAsia="Arial Unicode MS" w:hAnsi="Arial Unicode MS" w:cs="Arial Unicode MS" w:hint="eastAsia"/>
          <w:lang w:val="en-US"/>
        </w:rPr>
        <w:t>雷尼绍增材制造</w:t>
      </w:r>
      <w:proofErr w:type="gramEnd"/>
      <w:r w:rsidRPr="00E41C7C">
        <w:rPr>
          <w:rFonts w:ascii="Arial Unicode MS" w:eastAsia="Arial Unicode MS" w:hAnsi="Arial Unicode MS" w:cs="Arial Unicode MS" w:hint="eastAsia"/>
          <w:lang w:val="en-US"/>
        </w:rPr>
        <w:t>产品部市场经理</w:t>
      </w:r>
      <w:r w:rsidRPr="00E41C7C">
        <w:rPr>
          <w:rFonts w:ascii="Arial Unicode MS" w:eastAsia="Arial Unicode MS" w:hAnsi="Arial Unicode MS" w:cs="Arial Unicode MS"/>
          <w:lang w:val="en-US"/>
        </w:rPr>
        <w:t>Robin Weston补充说：“RenAM 500Q比传统单激光机器的生产效率和生产力高出许多。正是因为增材制造工艺的优势如此突出，越来越多的行业开始采用这项工艺来提高零件质量和生产效率。”</w:t>
      </w:r>
    </w:p>
    <w:p w:rsidR="00E41C7C" w:rsidRPr="00D20DCE" w:rsidRDefault="00E41C7C" w:rsidP="00E41C7C">
      <w:pPr>
        <w:autoSpaceDE w:val="0"/>
        <w:autoSpaceDN w:val="0"/>
        <w:spacing w:line="132" w:lineRule="auto"/>
        <w:jc w:val="both"/>
        <w:rPr>
          <w:rFonts w:ascii="Arial Unicode MS" w:eastAsia="Arial Unicode MS" w:hAnsi="Arial Unicode MS" w:cs="Arial Unicode MS"/>
        </w:rPr>
      </w:pPr>
    </w:p>
    <w:p w:rsidR="00DA38A7" w:rsidRDefault="00E41C7C" w:rsidP="00E41C7C">
      <w:pPr>
        <w:autoSpaceDE w:val="0"/>
        <w:autoSpaceDN w:val="0"/>
        <w:spacing w:line="283" w:lineRule="auto"/>
        <w:jc w:val="both"/>
        <w:rPr>
          <w:rFonts w:ascii="Arial Unicode MS" w:eastAsia="Arial Unicode MS" w:hAnsi="Arial Unicode MS" w:cs="Arial Unicode MS"/>
          <w:lang w:val="en-US"/>
        </w:rPr>
      </w:pPr>
      <w:r w:rsidRPr="00E41C7C">
        <w:rPr>
          <w:rFonts w:ascii="Arial Unicode MS" w:eastAsia="Arial Unicode MS" w:hAnsi="Arial Unicode MS" w:cs="Arial Unicode MS"/>
          <w:lang w:val="en-US"/>
        </w:rPr>
        <w:t>RenAM 500Q系统配备主流尺寸的加工平台及四个激光器，因此能够将生产效率提高四倍之多，同时</w:t>
      </w:r>
      <w:r w:rsidR="00DA38A7">
        <w:rPr>
          <w:rFonts w:ascii="Arial Unicode MS" w:eastAsia="Arial Unicode MS" w:hAnsi="Arial Unicode MS" w:cs="Arial Unicode MS"/>
          <w:lang w:val="en-US"/>
        </w:rPr>
        <w:br/>
      </w:r>
      <w:r w:rsidRPr="00E41C7C">
        <w:rPr>
          <w:rFonts w:ascii="Arial Unicode MS" w:eastAsia="Arial Unicode MS" w:hAnsi="Arial Unicode MS" w:cs="Arial Unicode MS"/>
          <w:lang w:val="en-US"/>
        </w:rPr>
        <w:t>又能保证加工质量丝毫不受影响。</w:t>
      </w:r>
    </w:p>
    <w:p w:rsidR="00DA38A7" w:rsidRPr="00D20DCE" w:rsidRDefault="00DA38A7" w:rsidP="00DA38A7">
      <w:pPr>
        <w:autoSpaceDE w:val="0"/>
        <w:autoSpaceDN w:val="0"/>
        <w:spacing w:line="132" w:lineRule="auto"/>
        <w:jc w:val="both"/>
        <w:rPr>
          <w:rFonts w:ascii="Arial Unicode MS" w:eastAsia="Arial Unicode MS" w:hAnsi="Arial Unicode MS" w:cs="Arial Unicode MS"/>
        </w:rPr>
      </w:pPr>
    </w:p>
    <w:p w:rsidR="004800C0" w:rsidRPr="004800C0" w:rsidRDefault="00E41C7C" w:rsidP="00E41C7C">
      <w:pPr>
        <w:autoSpaceDE w:val="0"/>
        <w:autoSpaceDN w:val="0"/>
        <w:spacing w:line="283" w:lineRule="auto"/>
        <w:jc w:val="both"/>
        <w:rPr>
          <w:rFonts w:ascii="Arial Unicode MS" w:eastAsia="Arial Unicode MS" w:hAnsi="Arial Unicode MS" w:cs="Arial Unicode MS"/>
          <w:lang w:val="en-US"/>
        </w:rPr>
      </w:pPr>
      <w:r w:rsidRPr="00E41C7C">
        <w:rPr>
          <w:rFonts w:ascii="Arial Unicode MS" w:eastAsia="Arial Unicode MS" w:hAnsi="Arial Unicode MS" w:cs="Arial Unicode MS"/>
          <w:lang w:val="en-US"/>
        </w:rPr>
        <w:t>如需详细了解如何</w:t>
      </w:r>
      <w:proofErr w:type="gramStart"/>
      <w:r w:rsidRPr="00E41C7C">
        <w:rPr>
          <w:rFonts w:ascii="Arial Unicode MS" w:eastAsia="Arial Unicode MS" w:hAnsi="Arial Unicode MS" w:cs="Arial Unicode MS"/>
          <w:lang w:val="en-US"/>
        </w:rPr>
        <w:t>采用增材制造</w:t>
      </w:r>
      <w:proofErr w:type="gramEnd"/>
      <w:r w:rsidRPr="00E41C7C">
        <w:rPr>
          <w:rFonts w:ascii="Arial Unicode MS" w:eastAsia="Arial Unicode MS" w:hAnsi="Arial Unicode MS" w:cs="Arial Unicode MS"/>
          <w:lang w:val="en-US"/>
        </w:rPr>
        <w:t>工艺进行批量生产，</w:t>
      </w:r>
      <w:proofErr w:type="gramStart"/>
      <w:r w:rsidRPr="00E41C7C">
        <w:rPr>
          <w:rFonts w:ascii="Arial Unicode MS" w:eastAsia="Arial Unicode MS" w:hAnsi="Arial Unicode MS" w:cs="Arial Unicode MS"/>
          <w:lang w:val="en-US"/>
        </w:rPr>
        <w:t>请访</w:t>
      </w:r>
      <w:proofErr w:type="gramEnd"/>
      <w:r w:rsidRPr="00E41C7C">
        <w:rPr>
          <w:rFonts w:ascii="Arial Unicode MS" w:eastAsia="Arial Unicode MS" w:hAnsi="Arial Unicode MS" w:cs="Arial Unicode MS"/>
          <w:lang w:val="en-US"/>
        </w:rPr>
        <w:t>问www.renishaw.com.cn/additive。</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D20DCE" w:rsidRPr="00D20DCE" w:rsidRDefault="00ED7BDF" w:rsidP="009F11F1">
      <w:pPr>
        <w:autoSpaceDE w:val="0"/>
        <w:autoSpaceDN w:val="0"/>
        <w:spacing w:after="200" w:line="360" w:lineRule="auto"/>
        <w:jc w:val="center"/>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w:t>
      </w:r>
      <w:r w:rsidR="00145EE2" w:rsidRPr="00D20DCE">
        <w:rPr>
          <w:rFonts w:ascii="Arial Unicode MS" w:eastAsia="Arial Unicode MS" w:hAnsi="Arial Unicode MS" w:cs="Arial Unicode MS"/>
          <w:b/>
          <w:sz w:val="22"/>
          <w:szCs w:val="22"/>
        </w:rPr>
        <w:t>完</w:t>
      </w:r>
      <w:r w:rsidRPr="00D20DCE">
        <w:rPr>
          <w:rFonts w:ascii="Arial Unicode MS" w:eastAsia="Arial Unicode MS" w:hAnsi="Arial Unicode MS" w:cs="Arial Unicode MS" w:hint="eastAsia"/>
          <w:b/>
          <w:sz w:val="22"/>
          <w:szCs w:val="22"/>
        </w:rPr>
        <w:t>-</w:t>
      </w:r>
      <w:r w:rsidR="00D20DCE" w:rsidRPr="00D20DCE">
        <w:rPr>
          <w:rFonts w:ascii="Arial Unicode MS" w:eastAsia="Arial Unicode MS" w:hAnsi="Arial Unicode MS" w:cs="Arial Unicode MS"/>
          <w:b/>
          <w:sz w:val="22"/>
          <w:szCs w:val="22"/>
        </w:rPr>
        <w:br w:type="page"/>
      </w:r>
    </w:p>
    <w:p w:rsidR="006D0607" w:rsidRPr="00D20DCE" w:rsidRDefault="006D0607" w:rsidP="005438AE">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lastRenderedPageBreak/>
        <w:t>关于</w:t>
      </w:r>
      <w:r w:rsidRPr="00D20DCE">
        <w:rPr>
          <w:rFonts w:ascii="Arial Unicode MS" w:eastAsia="Arial Unicode MS" w:hAnsi="Arial Unicode MS" w:cs="Arial Unicode MS"/>
          <w:b/>
          <w:sz w:val="22"/>
          <w:szCs w:val="22"/>
        </w:rPr>
        <w:t>雷尼绍</w:t>
      </w: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w:t>
      </w:r>
      <w:proofErr w:type="gramEnd"/>
      <w:r w:rsidRPr="00F92C22">
        <w:rPr>
          <w:rFonts w:ascii="Arial" w:eastAsia="Arial Unicode MS" w:hAnsi="Arial" w:cs="Arial" w:hint="eastAsia"/>
        </w:rPr>
        <w:t>造设备（通过金属粉末“打印”零件）的公司</w:t>
      </w:r>
      <w:r w:rsidRPr="00943FA8">
        <w:rPr>
          <w:rFonts w:ascii="Arial" w:eastAsia="Arial Unicode MS" w:hAnsi="Arial" w:cs="Arial"/>
        </w:rPr>
        <w:t>。</w:t>
      </w:r>
    </w:p>
    <w:p w:rsidR="000F13E7" w:rsidRPr="00943FA8" w:rsidRDefault="000F13E7" w:rsidP="000F13E7">
      <w:pPr>
        <w:autoSpaceDE w:val="0"/>
        <w:autoSpaceDN w:val="0"/>
        <w:spacing w:line="132" w:lineRule="auto"/>
        <w:jc w:val="both"/>
        <w:rPr>
          <w:rFonts w:ascii="Arial" w:eastAsia="Arial Unicode MS" w:hAnsi="Arial" w:cs="Arial"/>
        </w:rPr>
      </w:pP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D20DCE">
        <w:rPr>
          <w:rFonts w:ascii="Arial Unicode MS" w:eastAsia="Arial Unicode MS" w:hAnsi="Arial Unicode MS" w:cs="Arial Unicode MS" w:hint="eastAsia"/>
        </w:rPr>
        <w:t>（雷尼绍</w:t>
      </w:r>
      <w:r w:rsidRPr="00D20DCE">
        <w:rPr>
          <w:rFonts w:ascii="Arial Unicode MS" w:eastAsia="Arial Unicode MS" w:hAnsi="Arial Unicode MS" w:cs="Arial Unicode MS"/>
        </w:rPr>
        <w:t>中国）</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6D0607" w:rsidRPr="00D20DCE" w:rsidRDefault="006D0607" w:rsidP="005438AE">
      <w:pPr>
        <w:autoSpaceDE w:val="0"/>
        <w:autoSpaceDN w:val="0"/>
        <w:spacing w:after="200" w:line="360" w:lineRule="auto"/>
        <w:jc w:val="center"/>
        <w:rPr>
          <w:rFonts w:ascii="Arial Unicode MS" w:eastAsia="Arial Unicode MS" w:hAnsi="Arial Unicode MS" w:cs="Arial Unicode MS"/>
        </w:rPr>
      </w:pPr>
      <w:r w:rsidRPr="00D20DCE">
        <w:rPr>
          <w:rFonts w:ascii="Arial Unicode MS" w:eastAsia="Arial Unicode MS" w:hAnsi="Arial Unicode MS" w:cs="Arial Unicode MS"/>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D20DCE" w:rsidRDefault="006D0607" w:rsidP="005438AE">
      <w:pPr>
        <w:autoSpaceDE w:val="0"/>
        <w:autoSpaceDN w:val="0"/>
        <w:spacing w:after="200" w:line="360" w:lineRule="auto"/>
        <w:jc w:val="both"/>
        <w:rPr>
          <w:rFonts w:ascii="Arial Unicode MS" w:eastAsia="Arial Unicode MS" w:hAnsi="Arial Unicode MS" w:cs="Arial Unicode MS"/>
        </w:rPr>
      </w:pPr>
    </w:p>
    <w:sectPr w:rsidR="006D0607" w:rsidRPr="00D20DCE"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BD" w:rsidRDefault="00CF77BD" w:rsidP="002E2F8C">
      <w:r>
        <w:separator/>
      </w:r>
    </w:p>
  </w:endnote>
  <w:endnote w:type="continuationSeparator" w:id="0">
    <w:p w:rsidR="00CF77BD" w:rsidRDefault="00CF77B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1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BD" w:rsidRDefault="00CF77BD" w:rsidP="002E2F8C">
      <w:r>
        <w:separator/>
      </w:r>
    </w:p>
  </w:footnote>
  <w:footnote w:type="continuationSeparator" w:id="0">
    <w:p w:rsidR="00CF77BD" w:rsidRDefault="00CF77B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3B19B2">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3775326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75D0"/>
    <w:rsid w:val="001F1683"/>
    <w:rsid w:val="001F6C8A"/>
    <w:rsid w:val="002062B1"/>
    <w:rsid w:val="0021225A"/>
    <w:rsid w:val="00223471"/>
    <w:rsid w:val="002264D5"/>
    <w:rsid w:val="00227CE4"/>
    <w:rsid w:val="00240CE0"/>
    <w:rsid w:val="00241AD5"/>
    <w:rsid w:val="00241FBB"/>
    <w:rsid w:val="002469DB"/>
    <w:rsid w:val="00251025"/>
    <w:rsid w:val="00282C7D"/>
    <w:rsid w:val="00287DF1"/>
    <w:rsid w:val="002B7F0F"/>
    <w:rsid w:val="002D7A1F"/>
    <w:rsid w:val="002E1569"/>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19B2"/>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38AE"/>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04203"/>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58A2"/>
    <w:rsid w:val="00962CE5"/>
    <w:rsid w:val="009632B3"/>
    <w:rsid w:val="00965BFE"/>
    <w:rsid w:val="0097539C"/>
    <w:rsid w:val="0099444B"/>
    <w:rsid w:val="009A50F8"/>
    <w:rsid w:val="009B326C"/>
    <w:rsid w:val="009B6D01"/>
    <w:rsid w:val="009C3239"/>
    <w:rsid w:val="009D6A6E"/>
    <w:rsid w:val="009E43D2"/>
    <w:rsid w:val="009F11F1"/>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3631"/>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38A7"/>
    <w:rsid w:val="00DA7E59"/>
    <w:rsid w:val="00DB07A6"/>
    <w:rsid w:val="00DB2623"/>
    <w:rsid w:val="00DB5596"/>
    <w:rsid w:val="00DD0878"/>
    <w:rsid w:val="00DD26F1"/>
    <w:rsid w:val="00DD3297"/>
    <w:rsid w:val="00DF6848"/>
    <w:rsid w:val="00E129C7"/>
    <w:rsid w:val="00E20DB4"/>
    <w:rsid w:val="00E41C7C"/>
    <w:rsid w:val="00E45479"/>
    <w:rsid w:val="00E53F8B"/>
    <w:rsid w:val="00E541A1"/>
    <w:rsid w:val="00E63858"/>
    <w:rsid w:val="00E73435"/>
    <w:rsid w:val="00E86D50"/>
    <w:rsid w:val="00E9359C"/>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89295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A27A777A-139E-4C52-881B-E9C7B831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1338</Words>
  <Characters>58</Characters>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2011-08-09T11:37:00Z</cp:lastPrinted>
  <dcterms:created xsi:type="dcterms:W3CDTF">2018-05-04T03:31:00Z</dcterms:created>
  <dcterms:modified xsi:type="dcterms:W3CDTF">2019-12-13T06:41:00Z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